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  <w:bookmarkStart w:id="0" w:name="_Toc359141141"/>
      <w:bookmarkStart w:id="1" w:name="_Toc452634021"/>
      <w:bookmarkStart w:id="2" w:name="_Toc66105877"/>
      <w:bookmarkStart w:id="3" w:name="_Hlk82071631"/>
      <w:r>
        <w:rPr>
          <w:rFonts w:hint="default" w:ascii="Times New Roman" w:hAnsi="Times New Roman" w:eastAsia="宋体" w:cs="Times New Roman"/>
          <w:b/>
          <w:bCs w:val="0"/>
          <w:spacing w:val="6"/>
          <w:sz w:val="36"/>
          <w:szCs w:val="36"/>
          <w:lang w:val="en-US" w:eastAsia="zh-CN"/>
        </w:rPr>
        <w:t>人防地下室主体结构</w:t>
      </w:r>
      <w:r>
        <w:rPr>
          <w:rFonts w:hint="default" w:ascii="Times New Roman" w:hAnsi="Times New Roman" w:cs="Times New Roman"/>
          <w:b/>
          <w:bCs w:val="0"/>
          <w:spacing w:val="6"/>
          <w:sz w:val="36"/>
          <w:szCs w:val="36"/>
          <w:lang w:val="en-US" w:eastAsia="zh-CN"/>
        </w:rPr>
        <w:t>委托</w:t>
      </w:r>
      <w:r>
        <w:rPr>
          <w:rFonts w:hint="default" w:ascii="Times New Roman" w:hAnsi="Times New Roman" w:eastAsia="宋体" w:cs="Times New Roman"/>
          <w:b/>
          <w:bCs w:val="0"/>
          <w:spacing w:val="6"/>
          <w:sz w:val="36"/>
          <w:szCs w:val="36"/>
        </w:rPr>
        <w:t>检测</w:t>
      </w:r>
      <w:r>
        <w:rPr>
          <w:rFonts w:hint="default" w:ascii="Times New Roman" w:hAnsi="Times New Roman" w:eastAsia="宋体" w:cs="Times New Roman"/>
          <w:b/>
          <w:bCs w:val="0"/>
          <w:spacing w:val="6"/>
          <w:sz w:val="36"/>
          <w:szCs w:val="36"/>
          <w:lang w:val="en-US" w:eastAsia="zh-CN"/>
        </w:rPr>
        <w:t>合同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甲方：</w:t>
      </w:r>
      <w:r>
        <w:rPr>
          <w:rFonts w:hint="eastAsia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                              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乙方：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淮南市建发建设工程检测有限公司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一、</w:t>
      </w:r>
      <w:bookmarkEnd w:id="0"/>
      <w:bookmarkEnd w:id="1"/>
      <w:bookmarkStart w:id="4" w:name="_Toc508092318"/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工程</w:t>
      </w:r>
      <w:bookmarkEnd w:id="2"/>
      <w:bookmarkEnd w:id="4"/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信息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项目1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eastAsia="zh-CN"/>
        </w:rPr>
        <w:t>：</w:t>
      </w:r>
      <w:r>
        <w:rPr>
          <w:rFonts w:hint="eastAsia" w:cs="Times New Roman"/>
          <w:sz w:val="24"/>
          <w:szCs w:val="24"/>
          <w:u w:val="single"/>
          <w:lang w:val="en-US" w:eastAsia="zh-CN"/>
        </w:rPr>
        <w:t xml:space="preserve">                                                      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Times New Roman" w:hAnsi="Times New Roman" w:eastAsia="宋体" w:cs="Times New Roman"/>
          <w:color w:val="00000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项目2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eastAsia="zh-CN"/>
        </w:rPr>
        <w:t>：</w:t>
      </w:r>
      <w:r>
        <w:rPr>
          <w:rFonts w:hint="eastAsia" w:cs="Times New Roman"/>
          <w:sz w:val="24"/>
          <w:szCs w:val="24"/>
          <w:u w:val="single"/>
          <w:lang w:val="en-US" w:eastAsia="zh-CN"/>
        </w:rPr>
        <w:t xml:space="preserve">                                                      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项目3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eastAsia="zh-CN"/>
        </w:rPr>
        <w:t>：</w:t>
      </w:r>
      <w:r>
        <w:rPr>
          <w:rFonts w:hint="eastAsia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eastAsia="zh-CN"/>
        </w:rPr>
        <w:t>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bookmarkStart w:id="5" w:name="_Toc66105878"/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二、检测依据和执行标准</w:t>
      </w:r>
      <w:bookmarkEnd w:id="5"/>
    </w:p>
    <w:p>
      <w:pPr>
        <w:keepNext w:val="0"/>
        <w:keepLines w:val="0"/>
        <w:pageBreakBefore w:val="0"/>
        <w:widowControl w:val="0"/>
        <w:tabs>
          <w:tab w:val="left" w:pos="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</w:rPr>
        <w:t>（1）</w:t>
      </w:r>
      <w:r>
        <w:rPr>
          <w:rFonts w:hint="default" w:ascii="Times New Roman" w:hAnsi="Times New Roman" w:eastAsia="宋体" w:cs="Times New Roman"/>
          <w:sz w:val="24"/>
          <w:szCs w:val="24"/>
        </w:rPr>
        <w:t>《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建筑结构检测技术标准</w:t>
      </w:r>
      <w:r>
        <w:rPr>
          <w:rFonts w:hint="default" w:ascii="Times New Roman" w:hAnsi="Times New Roman" w:eastAsia="宋体" w:cs="Times New Roman"/>
          <w:sz w:val="24"/>
          <w:szCs w:val="24"/>
        </w:rPr>
        <w:t>》（GB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/T 50344-2019</w:t>
      </w:r>
      <w:r>
        <w:rPr>
          <w:rFonts w:hint="default" w:ascii="Times New Roman" w:hAnsi="Times New Roman" w:eastAsia="宋体" w:cs="Times New Roman"/>
          <w:sz w:val="24"/>
          <w:szCs w:val="24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</w:rPr>
        <w:t>（2）《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  <w:t>混凝土结构现场检测技术标准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》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  <w:t>GB/T 50784-2013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</w:rPr>
        <w:t>（3）《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  <w:t>回弹法检测混凝土抗压强度技术规程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》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  <w:t>JGJ/T 23-2011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</w:rPr>
        <w:t>（4）《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  <w:t>混凝土中钢筋检测技术标准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》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val="en-US" w:eastAsia="zh-CN"/>
        </w:rPr>
        <w:t>JGJ/T 152-2019</w:t>
      </w:r>
      <w:r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（5）《混凝土结构工程施工质量验收规范》（GB 50204-2015）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</w:rPr>
        <w:t>（6）</w:t>
      </w:r>
      <w:r>
        <w:rPr>
          <w:rFonts w:hint="default" w:ascii="Times New Roman" w:hAnsi="Times New Roman" w:eastAsia="宋体" w:cs="Times New Roman"/>
          <w:sz w:val="24"/>
          <w:szCs w:val="24"/>
        </w:rPr>
        <w:t>《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安徽省人防工程防护质量检测管理办法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（皖人防【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2020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】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72号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tabs>
          <w:tab w:val="left" w:pos="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</w:rPr>
        <w:t>（7）</w:t>
      </w:r>
      <w:r>
        <w:rPr>
          <w:rFonts w:hint="default" w:ascii="Times New Roman" w:hAnsi="Times New Roman" w:eastAsia="宋体" w:cs="Times New Roman"/>
          <w:sz w:val="24"/>
          <w:szCs w:val="24"/>
        </w:rPr>
        <w:t>《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人民防空工程质量验收与评价标准</w:t>
      </w:r>
      <w:r>
        <w:rPr>
          <w:rFonts w:hint="default" w:ascii="Times New Roman" w:hAnsi="Times New Roman" w:eastAsia="宋体" w:cs="Times New Roman"/>
          <w:sz w:val="24"/>
          <w:szCs w:val="24"/>
        </w:rPr>
        <w:t>》（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RFJ01-2015</w:t>
      </w:r>
      <w:r>
        <w:rPr>
          <w:rFonts w:hint="default" w:ascii="Times New Roman" w:hAnsi="Times New Roman" w:eastAsia="宋体" w:cs="Times New Roman"/>
          <w:sz w:val="24"/>
          <w:szCs w:val="24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</w:rPr>
        <w:t>（8）</w:t>
      </w:r>
      <w:r>
        <w:rPr>
          <w:rFonts w:hint="default" w:ascii="Times New Roman" w:hAnsi="Times New Roman" w:eastAsia="宋体" w:cs="Times New Roman"/>
          <w:sz w:val="24"/>
          <w:szCs w:val="24"/>
        </w:rPr>
        <w:t>《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人民防空工程施工及验收规范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》（GB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50134-2004</w:t>
      </w:r>
      <w:r>
        <w:rPr>
          <w:rFonts w:hint="default" w:ascii="Times New Roman" w:hAnsi="Times New Roman" w:eastAsia="宋体" w:cs="Times New Roman"/>
          <w:sz w:val="24"/>
          <w:szCs w:val="24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</w:rPr>
        <w:t xml:space="preserve">（9）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甲方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提供的相关设计图纸与施工过程记录等</w: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bookmarkStart w:id="6" w:name="_Toc66105879"/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三、检测内容、检测数量及</w:t>
      </w:r>
      <w:bookmarkEnd w:id="6"/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相关费用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《安徽省人防工程防护质量检测管理办法》第八条：人防工程防护结构应覆盖人防工程的底板、墙体（含防护密闭墙、密闭墙、临空墙、防护单元隔墙和人防门门框墙）、顶板、柱和出入口（战时、平时）等主要结构防护构件。防护构件质量检测内容包括混凝土强度检测、钢筋配置检测、混凝土构件缺陷检测、构件尺寸偏差检测和最小防护厚度检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人防工程主体结构防护构件质量检测抽样方法按《安徽省人防工程防护质量检测管理办法》附件2人防工程防护质量检测抽样和评定方法执行：防护构件质量检测应以防护单元为单位，其检测批容量应包括一个防护单元全部同种类的防护构件。其中防护密闭门、防爆波活门门框墙质量检测应逐个构件检测，其他防护构件检测可采用计数抽样方法或分层计量抽样方法。采用计数抽样或分层计量抽样时检测批的最小样本容量应符合《建筑结构检测技术标准》GB/T 50344的相关要求，检测抽取的样本应随机抽取，满足均匀分布、具有代表性的要求。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此外，混凝土构件外观质量缺陷为主要防护单元内结构构件全数普查。</w:t>
      </w:r>
    </w:p>
    <w:p>
      <w:pPr>
        <w:spacing w:line="360" w:lineRule="auto"/>
        <w:ind w:firstLine="460" w:firstLineChars="200"/>
        <w:rPr>
          <w:rFonts w:hint="default" w:ascii="Times New Roman" w:hAnsi="Times New Roman" w:eastAsia="宋体" w:cs="Times New Roman"/>
          <w:spacing w:val="-5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pacing w:val="-5"/>
          <w:sz w:val="24"/>
          <w:szCs w:val="24"/>
        </w:rPr>
        <w:t>根据</w:t>
      </w:r>
      <w:r>
        <w:rPr>
          <w:rFonts w:hint="default" w:ascii="Times New Roman" w:hAnsi="Times New Roman" w:eastAsia="宋体" w:cs="Times New Roman"/>
          <w:spacing w:val="-5"/>
          <w:sz w:val="24"/>
          <w:szCs w:val="24"/>
          <w:lang w:val="en-US" w:eastAsia="zh-CN"/>
        </w:rPr>
        <w:t>上述执行标准</w:t>
      </w:r>
      <w:r>
        <w:rPr>
          <w:rFonts w:hint="default" w:ascii="Times New Roman" w:hAnsi="Times New Roman" w:eastAsia="宋体" w:cs="Times New Roman"/>
          <w:spacing w:val="-5"/>
          <w:sz w:val="24"/>
          <w:szCs w:val="24"/>
        </w:rPr>
        <w:t>的有关规定和委托要求，并结合现场情况，本次</w:t>
      </w:r>
      <w:r>
        <w:rPr>
          <w:rFonts w:hint="default" w:ascii="Times New Roman" w:hAnsi="Times New Roman" w:eastAsia="宋体" w:cs="Times New Roman"/>
          <w:sz w:val="24"/>
          <w:szCs w:val="24"/>
        </w:rPr>
        <w:t>抽检的检测项目、检测数量及价格</w:t>
      </w:r>
      <w:r>
        <w:rPr>
          <w:rFonts w:hint="default" w:ascii="Times New Roman" w:hAnsi="Times New Roman" w:eastAsia="宋体" w:cs="Times New Roman"/>
          <w:spacing w:val="-5"/>
          <w:sz w:val="24"/>
          <w:szCs w:val="24"/>
        </w:rPr>
        <w:t>见表3.1</w:t>
      </w:r>
      <w:r>
        <w:rPr>
          <w:rFonts w:hint="default" w:ascii="Times New Roman" w:hAnsi="Times New Roman" w:eastAsia="宋体" w:cs="Times New Roman"/>
          <w:spacing w:val="-5"/>
          <w:sz w:val="24"/>
          <w:szCs w:val="24"/>
          <w:lang w:eastAsia="zh-CN"/>
        </w:rPr>
        <w:t>。</w:t>
      </w:r>
    </w:p>
    <w:p>
      <w:pPr>
        <w:spacing w:line="240" w:lineRule="auto"/>
        <w:jc w:val="center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</w:rPr>
        <w:t>表3.1</w:t>
      </w:r>
      <w:r>
        <w:rPr>
          <w:rFonts w:hint="default" w:ascii="Times New Roman" w:hAnsi="Times New Roman" w:eastAsia="宋体" w:cs="Times New Roman"/>
          <w:sz w:val="24"/>
          <w:szCs w:val="24"/>
        </w:rPr>
        <w:t>检测项目及价格</w:t>
      </w:r>
      <w:r>
        <w:rPr>
          <w:rFonts w:hint="default" w:ascii="Times New Roman" w:hAnsi="Times New Roman" w:eastAsia="宋体" w:cs="Times New Roman"/>
          <w:bCs/>
          <w:sz w:val="24"/>
          <w:szCs w:val="24"/>
        </w:rPr>
        <w:t>一览表</w:t>
      </w:r>
    </w:p>
    <w:tbl>
      <w:tblPr>
        <w:tblStyle w:val="6"/>
        <w:tblpPr w:leftFromText="180" w:rightFromText="180" w:vertAnchor="text" w:tblpXSpec="center" w:tblpY="1"/>
        <w:tblOverlap w:val="never"/>
        <w:tblW w:w="8587" w:type="dxa"/>
        <w:tblInd w:w="-14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2053"/>
        <w:gridCol w:w="1879"/>
        <w:gridCol w:w="1346"/>
        <w:gridCol w:w="1403"/>
        <w:gridCol w:w="131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591" w:type="dxa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序号</w:t>
            </w:r>
          </w:p>
        </w:tc>
        <w:tc>
          <w:tcPr>
            <w:tcW w:w="2053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检测项目</w:t>
            </w:r>
          </w:p>
        </w:tc>
        <w:tc>
          <w:tcPr>
            <w:tcW w:w="1879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检测部位</w:t>
            </w:r>
          </w:p>
        </w:tc>
        <w:tc>
          <w:tcPr>
            <w:tcW w:w="1346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抽检数量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构件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403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收费标准</w:t>
            </w:r>
          </w:p>
        </w:tc>
        <w:tc>
          <w:tcPr>
            <w:tcW w:w="1315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总价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混凝土强度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人防门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eastAsia="zh-CN"/>
              </w:rPr>
              <w:t>门框墙、</w:t>
            </w: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防护单元隔墙、外墙、临空墙、框架梁、柱等。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  <w:t>现场确认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2"/>
                <w:szCs w:val="22"/>
                <w:lang w:val="en-US" w:eastAsia="zh-CN"/>
              </w:rPr>
              <w:t>单价：</w:t>
            </w:r>
            <w:r>
              <w:rPr>
                <w:rFonts w:hint="eastAsia" w:cs="Times New Roman"/>
                <w:bCs/>
                <w:kern w:val="0"/>
                <w:sz w:val="22"/>
                <w:szCs w:val="22"/>
                <w:lang w:val="en-US" w:eastAsia="zh-CN"/>
              </w:rPr>
              <w:t xml:space="preserve">   /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2"/>
                <w:szCs w:val="22"/>
                <w:lang w:val="en-US" w:eastAsia="zh-CN"/>
              </w:rPr>
              <w:t>元/平米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  /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元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大写：</w:t>
            </w:r>
            <w:bookmarkStart w:id="15" w:name="_GoBack"/>
            <w:r>
              <w:rPr>
                <w:rFonts w:hint="eastAsia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 xml:space="preserve">/  </w:t>
            </w:r>
            <w:bookmarkEnd w:id="15"/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钢筋保护层厚度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钢筋间距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截面尺寸（墙厚）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bookmarkStart w:id="7" w:name="_Toc393640786"/>
            <w:bookmarkStart w:id="8" w:name="_Toc393455116"/>
            <w:bookmarkStart w:id="9" w:name="_Toc508092321"/>
            <w:bookmarkStart w:id="10" w:name="_Toc66105880"/>
            <w:bookmarkStart w:id="11" w:name="_Toc361659213"/>
            <w:bookmarkStart w:id="12" w:name="_Toc361743822"/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现浇板厚度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0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混凝土外观质量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四、检测设备</w:t>
      </w:r>
      <w:bookmarkEnd w:id="7"/>
      <w:bookmarkEnd w:id="8"/>
      <w:bookmarkEnd w:id="9"/>
      <w:bookmarkEnd w:id="10"/>
    </w:p>
    <w:p>
      <w:pPr>
        <w:spacing w:line="460" w:lineRule="exact"/>
        <w:ind w:firstLine="480" w:firstLineChars="200"/>
        <w:rPr>
          <w:rFonts w:hint="default" w:ascii="Times New Roman" w:hAnsi="Times New Roman" w:eastAsia="宋体" w:cs="Times New Roman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拟投入本项目的检测设备包括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数字回弹仪</w:t>
      </w:r>
      <w:r>
        <w:rPr>
          <w:rFonts w:hint="default" w:ascii="Times New Roman" w:hAnsi="Times New Roman" w:eastAsia="宋体" w:cs="Times New Roman"/>
          <w:sz w:val="24"/>
          <w:szCs w:val="24"/>
        </w:rPr>
        <w:t>、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混凝土中钢筋检测仪、一体式楼板测厚仪、碳化深度测定仪、激光测距仪、游标卡尺、钢卷尺、钢直尺、酚酞酒精溶液与锤錾</w:t>
      </w:r>
      <w:r>
        <w:rPr>
          <w:rFonts w:hint="default" w:ascii="Times New Roman" w:hAnsi="Times New Roman" w:eastAsia="宋体" w:cs="Times New Roman"/>
          <w:sz w:val="24"/>
          <w:szCs w:val="24"/>
        </w:rPr>
        <w:t>等，完全满足本项目检测工作的需要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且主要设备均通过检定/校准，其精度、量程满足相关规范标准的要求</w:t>
      </w:r>
      <w:bookmarkEnd w:id="11"/>
      <w:bookmarkEnd w:id="12"/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主要检测设备信息</w:t>
      </w:r>
      <w:r>
        <w:rPr>
          <w:rFonts w:hint="default" w:ascii="Times New Roman" w:hAnsi="Times New Roman" w:eastAsia="宋体" w:cs="Times New Roman"/>
          <w:sz w:val="24"/>
          <w:szCs w:val="24"/>
        </w:rPr>
        <w:t>详见表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4.1。</w:t>
      </w:r>
    </w:p>
    <w:p>
      <w:pPr>
        <w:jc w:val="center"/>
        <w:rPr>
          <w:rFonts w:hint="default" w:ascii="Times New Roman" w:hAnsi="Times New Roman" w:eastAsia="宋体" w:cs="Times New Roman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</w:rPr>
        <w:t>表4.1主要检测设备一览表</w:t>
      </w:r>
    </w:p>
    <w:tbl>
      <w:tblPr>
        <w:tblStyle w:val="6"/>
        <w:tblW w:w="848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2448"/>
        <w:gridCol w:w="1459"/>
        <w:gridCol w:w="1050"/>
        <w:gridCol w:w="791"/>
        <w:gridCol w:w="219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2"/>
                <w:szCs w:val="22"/>
              </w:rPr>
              <w:t>序号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2"/>
                <w:szCs w:val="22"/>
              </w:rPr>
              <w:t>仪器设备名称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2"/>
                <w:szCs w:val="22"/>
              </w:rPr>
              <w:t>规格型号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2"/>
                <w:szCs w:val="22"/>
                <w:lang w:val="en-US" w:eastAsia="zh-CN"/>
              </w:rPr>
              <w:t>编号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2"/>
                <w:szCs w:val="22"/>
              </w:rPr>
              <w:t>数量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2"/>
                <w:szCs w:val="22"/>
              </w:rPr>
              <w:t>用途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24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数字回弹仪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ZC3/T型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JG-056</w:t>
            </w: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1台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混凝土强度检测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4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数字回弹仪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BY2012HT/S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JG-038、JG-039</w:t>
            </w: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2台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混凝土强度检测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4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混凝土中钢筋检测仪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HC-GY型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JG-001</w:t>
            </w: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台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钢筋检测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44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一体式钢筋检测仪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HC-GY71S型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JG-029</w:t>
            </w: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台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钢筋检测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一体式楼板测厚仪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HC-HD91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型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JG-030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1台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截面尺寸检测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混凝土碳化深度测定仪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HT-A型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JG-008、JG-009</w:t>
            </w: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台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混凝土强度检测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448" w:type="dxa"/>
            <w:vAlign w:val="center"/>
          </w:tcPr>
          <w:p>
            <w:pPr>
              <w:ind w:firstLine="55" w:firstLineChars="25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激光测距仪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/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FL-001</w:t>
            </w: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1台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截面尺寸检测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448" w:type="dxa"/>
            <w:vAlign w:val="center"/>
          </w:tcPr>
          <w:p>
            <w:pPr>
              <w:ind w:firstLine="55" w:firstLineChars="25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游标卡尺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300mm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JG-037</w:t>
            </w: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1台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截面尺寸、钢筋检测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448" w:type="dxa"/>
            <w:vAlign w:val="center"/>
          </w:tcPr>
          <w:p>
            <w:pPr>
              <w:ind w:firstLine="55" w:firstLineChars="25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钢卷尺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5米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JG-036</w:t>
            </w: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1台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截面尺寸、钢筋检测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448" w:type="dxa"/>
            <w:vAlign w:val="center"/>
          </w:tcPr>
          <w:p>
            <w:pPr>
              <w:ind w:firstLine="55" w:firstLineChars="25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钢直尺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300cm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JG-035</w:t>
            </w:r>
          </w:p>
        </w:tc>
        <w:tc>
          <w:tcPr>
            <w:tcW w:w="791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  <w:t>1台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截面尺寸、钢筋检测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bookmarkStart w:id="13" w:name="_Toc508092322"/>
      <w:bookmarkStart w:id="14" w:name="_Toc66105881"/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五、检测单位工作计划进度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（1）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甲</w:t>
      </w:r>
      <w:r>
        <w:rPr>
          <w:rFonts w:hint="default" w:ascii="Times New Roman" w:hAnsi="Times New Roman" w:eastAsia="宋体" w:cs="Times New Roman"/>
          <w:sz w:val="24"/>
          <w:szCs w:val="24"/>
        </w:rPr>
        <w:t>方及相关方认同检测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合同</w:t>
      </w:r>
      <w:r>
        <w:rPr>
          <w:rFonts w:hint="default" w:ascii="Times New Roman" w:hAnsi="Times New Roman" w:eastAsia="宋体" w:cs="Times New Roman"/>
          <w:sz w:val="24"/>
          <w:szCs w:val="24"/>
        </w:rPr>
        <w:t>并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履行相关委托手续</w:t>
      </w:r>
      <w:r>
        <w:rPr>
          <w:rFonts w:hint="default" w:ascii="Times New Roman" w:hAnsi="Times New Roman" w:eastAsia="宋体" w:cs="Times New Roman"/>
          <w:sz w:val="24"/>
          <w:szCs w:val="24"/>
        </w:rPr>
        <w:t>后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</w:rPr>
        <w:t>择日进入现场，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现场</w:t>
      </w:r>
      <w:r>
        <w:rPr>
          <w:rFonts w:hint="default" w:ascii="Times New Roman" w:hAnsi="Times New Roman" w:eastAsia="宋体" w:cs="Times New Roman"/>
          <w:sz w:val="24"/>
          <w:szCs w:val="24"/>
        </w:rPr>
        <w:t>检测工作计划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个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工作</w:t>
      </w:r>
      <w:r>
        <w:rPr>
          <w:rFonts w:hint="default" w:ascii="Times New Roman" w:hAnsi="Times New Roman" w:eastAsia="宋体" w:cs="Times New Roman"/>
          <w:sz w:val="24"/>
          <w:szCs w:val="24"/>
        </w:rPr>
        <w:t>日完成（若遇天气等不可抗力原因及配合不力影响检测工作时，时间则顺延）。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检测需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甲方及时提供相关设计图纸、施工过程记录等技术资料和梯子、施工脚手架、现场照明等辅助用具，并安排三至四</w:t>
      </w:r>
      <w:r>
        <w:rPr>
          <w:rFonts w:hint="default" w:ascii="Times New Roman" w:hAnsi="Times New Roman" w:eastAsia="宋体" w:cs="Times New Roman"/>
          <w:sz w:val="24"/>
          <w:szCs w:val="24"/>
        </w:rPr>
        <w:t>名技术人员和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二至三</w:t>
      </w:r>
      <w:r>
        <w:rPr>
          <w:rFonts w:hint="default" w:ascii="Times New Roman" w:hAnsi="Times New Roman" w:eastAsia="宋体" w:cs="Times New Roman"/>
          <w:sz w:val="24"/>
          <w:szCs w:val="24"/>
        </w:rPr>
        <w:t>名工人配合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确保</w:t>
      </w:r>
      <w:r>
        <w:rPr>
          <w:rFonts w:hint="default" w:ascii="Times New Roman" w:hAnsi="Times New Roman" w:eastAsia="宋体" w:cs="Times New Roman"/>
          <w:sz w:val="24"/>
          <w:szCs w:val="24"/>
        </w:rPr>
        <w:t>检测项目的顺利进行。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乙方</w:t>
      </w:r>
      <w:r>
        <w:rPr>
          <w:rFonts w:hint="default" w:ascii="Times New Roman" w:hAnsi="Times New Roman" w:eastAsia="宋体" w:cs="Times New Roman"/>
          <w:sz w:val="24"/>
          <w:szCs w:val="24"/>
        </w:rPr>
        <w:t>根据现场情况，经方案审核人批准，在不影响对工程安全可靠性作出客观评价的前提下，可对本方案进行适当调整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现场调查检测工作完成后，在检测报告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编制和审批</w:t>
      </w:r>
      <w:r>
        <w:rPr>
          <w:rFonts w:hint="default" w:ascii="Times New Roman" w:hAnsi="Times New Roman" w:eastAsia="宋体" w:cs="Times New Roman"/>
          <w:sz w:val="24"/>
          <w:szCs w:val="24"/>
        </w:rPr>
        <w:t>过程中，若发现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数据不够充分</w:t>
      </w:r>
      <w:r>
        <w:rPr>
          <w:rFonts w:hint="default" w:ascii="Times New Roman" w:hAnsi="Times New Roman" w:eastAsia="宋体" w:cs="Times New Roman"/>
          <w:sz w:val="24"/>
          <w:szCs w:val="24"/>
        </w:rPr>
        <w:t>时，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委托方应全力配合</w:t>
      </w:r>
      <w:r>
        <w:rPr>
          <w:rFonts w:hint="default" w:ascii="Times New Roman" w:hAnsi="Times New Roman" w:eastAsia="宋体" w:cs="Times New Roman"/>
          <w:sz w:val="24"/>
          <w:szCs w:val="24"/>
        </w:rPr>
        <w:t>进行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现场</w:t>
      </w:r>
      <w:r>
        <w:rPr>
          <w:rFonts w:hint="default" w:ascii="Times New Roman" w:hAnsi="Times New Roman" w:eastAsia="宋体" w:cs="Times New Roman"/>
          <w:sz w:val="24"/>
          <w:szCs w:val="24"/>
        </w:rPr>
        <w:t>补充检测。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pacing w:val="-6"/>
          <w:sz w:val="24"/>
          <w:szCs w:val="24"/>
        </w:rPr>
        <w:t>现场检测工作结束待检测费全部结清后，于</w:t>
      </w:r>
      <w:r>
        <w:rPr>
          <w:rFonts w:hint="eastAsia" w:ascii="Times New Roman" w:hAnsi="Times New Roman" w:cs="Times New Roman"/>
          <w:spacing w:val="-6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pacing w:val="-6"/>
          <w:sz w:val="24"/>
          <w:szCs w:val="24"/>
        </w:rPr>
        <w:t>个工作日内提供检测</w:t>
      </w:r>
      <w:r>
        <w:rPr>
          <w:rFonts w:hint="default" w:ascii="Times New Roman" w:hAnsi="Times New Roman" w:eastAsia="宋体" w:cs="Times New Roman"/>
          <w:spacing w:val="-6"/>
          <w:sz w:val="24"/>
          <w:szCs w:val="24"/>
          <w:lang w:val="en-US" w:eastAsia="zh-CN"/>
        </w:rPr>
        <w:t>报告一式3份</w:t>
      </w:r>
      <w:r>
        <w:rPr>
          <w:rFonts w:hint="default" w:ascii="Times New Roman" w:hAnsi="Times New Roman" w:cs="Times New Roman"/>
          <w:spacing w:val="-6"/>
          <w:sz w:val="24"/>
          <w:szCs w:val="24"/>
          <w:lang w:val="en-US" w:eastAsia="zh-CN"/>
        </w:rPr>
        <w:t>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六、安全保障措施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（1）</w:t>
      </w:r>
      <w:r>
        <w:rPr>
          <w:rFonts w:hint="default" w:ascii="Times New Roman" w:hAnsi="Times New Roman" w:eastAsia="宋体" w:cs="Times New Roman"/>
          <w:sz w:val="24"/>
          <w:szCs w:val="24"/>
        </w:rPr>
        <w:t>人员进入检测现场须佩戴安全帽，并系下颌带，谨防高空坠落物。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凡从事2米以上无法采用可靠防护措施的高处作业人员必须系安全带。安全带须高挂低用，不得低挂高用，操作中应防止摆动碰撞，避免意外事故的发生。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现场的接电须由专职人员负责，严格遵守相关规定。手持电动工具的使用应符合国家标准的有关规定，工具的电源线、插头、插座应完好电源线不得任意接长和调换，工具的外绝缘应完好无损，维修和保管应由专人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尽量避免进入尺寸较小、通风不良、可能含有有害气体或物质的密闭区间，需要进入前，应做好相应防护和应急措施。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七、其它</w:t>
      </w:r>
      <w:bookmarkEnd w:id="13"/>
      <w:bookmarkEnd w:id="1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（1）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甲方授权</w:t>
      </w:r>
      <w:r>
        <w:rPr>
          <w:rFonts w:hint="default" w:ascii="Times New Roman" w:hAnsi="Times New Roman" w:eastAsia="宋体" w:cs="Times New Roman"/>
          <w:sz w:val="24"/>
          <w:szCs w:val="24"/>
        </w:rPr>
        <w:t>丙方将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见证取样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样品送至乙方试验室，并填写试验委托单；需要现场检测的，甲方委托后，乙方派人到施工现场进行检验。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甲方委托单信息必须全面、清楚。如有必要，甲方须提供送检样品的质保单、出厂合格证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或出厂检测报告</w:t>
      </w:r>
      <w:r>
        <w:rPr>
          <w:rFonts w:hint="default" w:ascii="Times New Roman" w:hAnsi="Times New Roman" w:eastAsia="宋体" w:cs="Times New Roman"/>
          <w:sz w:val="24"/>
          <w:szCs w:val="24"/>
        </w:rPr>
        <w:t>等相关资料。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甲方对委托信息的真实性和样品的代表性负责。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试验费用采用预付款方式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本项目检测费用以合同价为准。项目竣工验收前，丙方及时办理检测费用清算，待检测费用结清后，乙方须将全部剩余检测报告发放给甲方</w: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乙方所用检测方法、依据原则上按现行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国家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sz w:val="24"/>
          <w:szCs w:val="24"/>
        </w:rPr>
        <w:t>行业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或地方</w:t>
      </w:r>
      <w:r>
        <w:rPr>
          <w:rFonts w:hint="default" w:ascii="Times New Roman" w:hAnsi="Times New Roman" w:eastAsia="宋体" w:cs="Times New Roman"/>
          <w:sz w:val="24"/>
          <w:szCs w:val="24"/>
        </w:rPr>
        <w:t>标准进行，如有特殊检验要求需向乙方申明，经过评审后方可进行检验。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乙方按承诺时限完成试验，检测结果的通报以试验报告的形式通报，因甲方未及时提取试验报告产生的后果乙方不承担任何责任。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本协议一式    份，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双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方签字盖章后生效。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甲方如对报告有异议应在15日之内向乙方提出。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eastAsia" w:cs="Times New Roman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双方发生争议的，可协商解决，或向有关部门申请调解；也可向乙方当地法院进行起诉。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bookmarkEnd w:id="3"/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甲方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盖章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）：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                    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签约代表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  </w:t>
      </w:r>
      <w:r>
        <w:rPr>
          <w:rFonts w:hint="eastAsia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日期</w:t>
      </w:r>
      <w:r>
        <w:rPr>
          <w:rFonts w:hint="eastAsia" w:cs="Times New Roman"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乙方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盖章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）：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淮南市建发建设工程检测有限公司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签约代表：        </w:t>
      </w:r>
      <w:r>
        <w:rPr>
          <w:rFonts w:hint="eastAsia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日期</w:t>
      </w:r>
      <w:r>
        <w:rPr>
          <w:rFonts w:hint="eastAsia" w:cs="Times New Roman"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开户行：徽商银行淮南龙湖支行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开户名：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淮南市建发建设工程检测有限公司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账  号：000006050003800000310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页 共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NUMPAGES \* CHINESENUM3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四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 xml:space="preserve">第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页 共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NUMPAGES \* CHINESENUM3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四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bidi w:val="0"/>
      <w:adjustRightInd/>
      <w:snapToGrid/>
      <w:spacing w:line="700" w:lineRule="exact"/>
      <w:jc w:val="center"/>
      <w:textAlignment w:val="auto"/>
      <w:rPr>
        <w:rFonts w:hint="eastAsia" w:ascii="宋体" w:hAnsi="宋体" w:cs="宋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jYmVmZjliYjhmYWViZWNlMTU0MzAwZWZlODI0YWMifQ=="/>
  </w:docVars>
  <w:rsids>
    <w:rsidRoot w:val="4E231966"/>
    <w:rsid w:val="002E32FB"/>
    <w:rsid w:val="00B4445D"/>
    <w:rsid w:val="00B665CF"/>
    <w:rsid w:val="00DA0A7B"/>
    <w:rsid w:val="05893709"/>
    <w:rsid w:val="06D511B2"/>
    <w:rsid w:val="08F2043F"/>
    <w:rsid w:val="0C542954"/>
    <w:rsid w:val="105C1BE2"/>
    <w:rsid w:val="18AD551E"/>
    <w:rsid w:val="191F0028"/>
    <w:rsid w:val="1A1A55E6"/>
    <w:rsid w:val="1C6E1C1A"/>
    <w:rsid w:val="1C931680"/>
    <w:rsid w:val="1CFE2A48"/>
    <w:rsid w:val="1F9D63DF"/>
    <w:rsid w:val="201C3037"/>
    <w:rsid w:val="22D54681"/>
    <w:rsid w:val="232A1A48"/>
    <w:rsid w:val="25E5683B"/>
    <w:rsid w:val="27475541"/>
    <w:rsid w:val="29043C12"/>
    <w:rsid w:val="29FA2D3E"/>
    <w:rsid w:val="2A027B23"/>
    <w:rsid w:val="2B911481"/>
    <w:rsid w:val="2FC240EE"/>
    <w:rsid w:val="30090E85"/>
    <w:rsid w:val="30C562F8"/>
    <w:rsid w:val="38E52E0C"/>
    <w:rsid w:val="3D9372DA"/>
    <w:rsid w:val="412B22CD"/>
    <w:rsid w:val="41D17275"/>
    <w:rsid w:val="42A258CA"/>
    <w:rsid w:val="430A1DED"/>
    <w:rsid w:val="47217705"/>
    <w:rsid w:val="486C0F28"/>
    <w:rsid w:val="4CF64F71"/>
    <w:rsid w:val="4E231966"/>
    <w:rsid w:val="518E5997"/>
    <w:rsid w:val="532B2D8E"/>
    <w:rsid w:val="53D9576D"/>
    <w:rsid w:val="548D7456"/>
    <w:rsid w:val="55255C6B"/>
    <w:rsid w:val="56A30136"/>
    <w:rsid w:val="5EAE2010"/>
    <w:rsid w:val="5EB80844"/>
    <w:rsid w:val="63ED4ECF"/>
    <w:rsid w:val="673E5F60"/>
    <w:rsid w:val="67B53825"/>
    <w:rsid w:val="6C483140"/>
    <w:rsid w:val="6E8A2124"/>
    <w:rsid w:val="725B78E1"/>
    <w:rsid w:val="75E22378"/>
    <w:rsid w:val="77AA16A7"/>
    <w:rsid w:val="7FAF01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480" w:lineRule="auto"/>
      <w:outlineLvl w:val="0"/>
    </w:pPr>
    <w:rPr>
      <w:b/>
      <w:kern w:val="44"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qFormat/>
    <w:uiPriority w:val="0"/>
    <w:pPr>
      <w:widowControl w:val="0"/>
      <w:spacing w:line="400" w:lineRule="exact"/>
      <w:ind w:firstLine="420" w:firstLineChars="200"/>
      <w:jc w:val="both"/>
    </w:pPr>
    <w:rPr>
      <w:rFonts w:ascii="宋体" w:hAnsi="Times New Roman" w:eastAsia="宋体" w:cs="Times New Roman"/>
      <w:kern w:val="2"/>
      <w:sz w:val="24"/>
      <w:szCs w:val="24"/>
      <w:lang w:val="en-US" w:eastAsia="zh-CN" w:bidi="ar-SA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2361</Words>
  <Characters>2577</Characters>
  <Lines>16</Lines>
  <Paragraphs>4</Paragraphs>
  <TotalTime>7</TotalTime>
  <ScaleCrop>false</ScaleCrop>
  <LinksUpToDate>false</LinksUpToDate>
  <CharactersWithSpaces>2924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2021-12-08T00:23:00Z</dcterms:created>
  <dc:creator>Administrator</dc:creator>
  <cp:lastModifiedBy>西西西西西西米</cp:lastModifiedBy>
  <cp:lastPrinted>2023-11-28T10:51:00Z</cp:lastPrinted>
  <dcterms:modified xsi:type="dcterms:W3CDTF">2023-11-29T01:16:04Z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52EA83C9A54D47DAA972D4C0F78580EF_13</vt:lpwstr>
  </property>
</Properties>
</file>